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C97F4AC">
      <w:pPr>
        <w:keepNext w:val="0"/>
        <w:keepLines w:val="0"/>
        <w:pageBreakBefore w:val="0"/>
        <w:numPr>
          <w:ilvl w:val="0"/>
          <w:numId w:val="0"/>
        </w:numPr>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lang w:eastAsia="zh-CN"/>
        </w:rPr>
      </w:pPr>
      <w:bookmarkStart w:id="0" w:name="_GoBack"/>
      <w:bookmarkEnd w:id="0"/>
      <w:r>
        <w:rPr>
          <w:rFonts w:hint="eastAsia" w:ascii="方正小标宋简体" w:hAnsi="方正小标宋简体" w:eastAsia="方正小标宋简体" w:cs="方正小标宋简体"/>
          <w:sz w:val="44"/>
          <w:szCs w:val="44"/>
          <w:lang w:eastAsia="zh-CN"/>
        </w:rPr>
        <w:t>杨陵区大学生医保政策简介</w:t>
      </w:r>
    </w:p>
    <w:p w14:paraId="7FA3F8EC">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firstLine="880" w:firstLineChars="200"/>
        <w:jc w:val="center"/>
        <w:textAlignment w:val="auto"/>
        <w:rPr>
          <w:rFonts w:hint="eastAsia" w:ascii="方正小标宋简体" w:hAnsi="方正小标宋简体" w:eastAsia="方正小标宋简体" w:cs="方正小标宋简体"/>
          <w:sz w:val="44"/>
          <w:szCs w:val="44"/>
          <w:lang w:eastAsia="zh-CN"/>
        </w:rPr>
      </w:pPr>
    </w:p>
    <w:p w14:paraId="223AA271">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lang w:eastAsia="zh-CN"/>
        </w:rPr>
      </w:pPr>
      <w:r>
        <w:rPr>
          <w:rFonts w:hint="eastAsia" w:ascii="黑体" w:hAnsi="黑体" w:eastAsia="黑体" w:cs="黑体"/>
          <w:sz w:val="32"/>
          <w:szCs w:val="32"/>
          <w:lang w:eastAsia="zh-CN"/>
        </w:rPr>
        <w:t>参保范围</w:t>
      </w:r>
    </w:p>
    <w:p w14:paraId="0E50951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32"/>
          <w:lang w:eastAsia="zh-CN"/>
        </w:rPr>
      </w:pPr>
      <w:r>
        <w:rPr>
          <w:rFonts w:hint="eastAsia" w:ascii="仿宋" w:hAnsi="仿宋" w:eastAsia="仿宋" w:cs="仿宋"/>
          <w:color w:val="auto"/>
          <w:sz w:val="32"/>
          <w:szCs w:val="32"/>
          <w:lang w:eastAsia="zh-CN"/>
        </w:rPr>
        <w:t>凡学籍在杨陵区内，接受普通高等学历教育的全日制专科、本科、研究生，均可参加杨陵区大学生医保（城乡居民基本医疗保险）。</w:t>
      </w:r>
    </w:p>
    <w:p w14:paraId="6370F47B">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lang w:eastAsia="zh-CN"/>
        </w:rPr>
      </w:pPr>
      <w:r>
        <w:rPr>
          <w:rFonts w:hint="eastAsia" w:ascii="黑体" w:hAnsi="黑体" w:eastAsia="黑体" w:cs="黑体"/>
          <w:sz w:val="32"/>
          <w:szCs w:val="32"/>
          <w:lang w:eastAsia="zh-CN"/>
        </w:rPr>
        <w:t>医保待遇</w:t>
      </w:r>
    </w:p>
    <w:p w14:paraId="67061EE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大学生参加城镇居民基本医疗保险保障范围为：普通门诊、门诊意外伤害、门诊特殊治疗病种、门诊特殊慢性病、门诊抢救</w:t>
      </w:r>
      <w:r>
        <w:rPr>
          <w:rFonts w:hint="eastAsia" w:ascii="仿宋" w:hAnsi="仿宋" w:eastAsia="仿宋" w:cs="仿宋"/>
          <w:color w:val="000000"/>
          <w:sz w:val="32"/>
          <w:szCs w:val="32"/>
          <w:lang w:eastAsia="zh-CN"/>
        </w:rPr>
        <w:t>、</w:t>
      </w:r>
      <w:r>
        <w:rPr>
          <w:rFonts w:hint="eastAsia" w:ascii="仿宋" w:hAnsi="仿宋" w:eastAsia="仿宋" w:cs="仿宋"/>
          <w:color w:val="000000"/>
          <w:sz w:val="32"/>
          <w:szCs w:val="32"/>
        </w:rPr>
        <w:t>住院治疗、生育。</w:t>
      </w:r>
    </w:p>
    <w:p w14:paraId="7B688F9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lang w:val="en-US" w:eastAsia="zh-CN"/>
        </w:rPr>
        <w:t>1.</w:t>
      </w:r>
      <w:r>
        <w:rPr>
          <w:rFonts w:hint="eastAsia" w:ascii="仿宋" w:hAnsi="仿宋" w:eastAsia="仿宋" w:cs="仿宋"/>
          <w:color w:val="000000"/>
          <w:sz w:val="32"/>
          <w:szCs w:val="32"/>
        </w:rPr>
        <w:t>普通门诊：</w:t>
      </w:r>
      <w:r>
        <w:rPr>
          <w:rFonts w:hint="eastAsia" w:ascii="仿宋" w:hAnsi="仿宋" w:eastAsia="仿宋" w:cs="仿宋"/>
          <w:b/>
          <w:bCs/>
          <w:color w:val="auto"/>
          <w:sz w:val="32"/>
          <w:szCs w:val="32"/>
        </w:rPr>
        <w:t>在定点医疗机构（西北农林科技大学医院）</w:t>
      </w:r>
      <w:r>
        <w:rPr>
          <w:rFonts w:hint="eastAsia" w:ascii="仿宋" w:hAnsi="仿宋" w:eastAsia="仿宋" w:cs="仿宋"/>
          <w:color w:val="auto"/>
          <w:sz w:val="32"/>
          <w:szCs w:val="32"/>
          <w:lang w:eastAsia="zh-CN"/>
        </w:rPr>
        <w:t>、办理转诊手续转至杨凌示范区医院、寒暑假期间或实习期间在</w:t>
      </w:r>
      <w:r>
        <w:rPr>
          <w:rFonts w:hint="eastAsia" w:ascii="仿宋" w:hAnsi="仿宋" w:eastAsia="仿宋" w:cs="仿宋"/>
          <w:color w:val="auto"/>
          <w:sz w:val="32"/>
          <w:szCs w:val="32"/>
          <w:lang w:val="en-US" w:eastAsia="zh-CN"/>
        </w:rPr>
        <w:t>异地</w:t>
      </w:r>
      <w:r>
        <w:rPr>
          <w:rFonts w:hint="eastAsia" w:ascii="仿宋" w:hAnsi="仿宋" w:eastAsia="仿宋" w:cs="仿宋"/>
          <w:color w:val="auto"/>
          <w:sz w:val="32"/>
          <w:szCs w:val="32"/>
          <w:lang w:eastAsia="zh-CN"/>
        </w:rPr>
        <w:t>二级以下医院发生的</w:t>
      </w:r>
      <w:r>
        <w:rPr>
          <w:rFonts w:hint="eastAsia" w:ascii="仿宋" w:hAnsi="仿宋" w:eastAsia="仿宋" w:cs="仿宋"/>
          <w:color w:val="auto"/>
          <w:sz w:val="32"/>
          <w:szCs w:val="32"/>
        </w:rPr>
        <w:t>符合基本医疗保险规定的普通门诊医疗费用</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不设起付线，由统筹基金按70%比例支付，普通门诊每年最高报销限额500元。</w:t>
      </w:r>
    </w:p>
    <w:p w14:paraId="70DB1DCB">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2.门诊意外伤害：包括骨折、关节脱位、呼吸道异物三种常见疾病。因意外伤害引起上述疾病治疗时，不设起付线，医疗费用由统筹基金按75%标准支付，最高支付限额为2000元。</w:t>
      </w:r>
    </w:p>
    <w:p w14:paraId="08B0C80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3.门诊特殊治疗病种：包括各类结石，不设起付线，发生的符合医保政策范围内费用按75%报销，年度最高支付限额为1000元。</w:t>
      </w:r>
    </w:p>
    <w:p w14:paraId="53F66A53">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color w:val="000000"/>
          <w:sz w:val="32"/>
          <w:szCs w:val="32"/>
          <w:lang w:eastAsia="zh-CN"/>
        </w:rPr>
      </w:pPr>
      <w:r>
        <w:rPr>
          <w:rFonts w:hint="eastAsia" w:ascii="仿宋" w:hAnsi="仿宋" w:eastAsia="仿宋" w:cs="仿宋"/>
          <w:color w:val="000000"/>
          <w:sz w:val="32"/>
          <w:szCs w:val="32"/>
        </w:rPr>
        <w:t>4.门诊特殊慢性病：在定点医疗机构发生的门诊特殊慢性病医疗费用由统筹基金按照80%</w:t>
      </w:r>
      <w:r>
        <w:rPr>
          <w:rFonts w:hint="eastAsia" w:ascii="仿宋" w:hAnsi="仿宋" w:eastAsia="仿宋" w:cs="仿宋"/>
          <w:color w:val="000000"/>
          <w:sz w:val="32"/>
          <w:szCs w:val="32"/>
          <w:lang w:eastAsia="zh-CN"/>
        </w:rPr>
        <w:t>—</w:t>
      </w:r>
      <w:r>
        <w:rPr>
          <w:rFonts w:hint="eastAsia" w:ascii="仿宋" w:hAnsi="仿宋" w:eastAsia="仿宋" w:cs="仿宋"/>
          <w:color w:val="000000"/>
          <w:sz w:val="32"/>
          <w:szCs w:val="32"/>
        </w:rPr>
        <w:t>85%的标准支付</w:t>
      </w:r>
      <w:r>
        <w:rPr>
          <w:rFonts w:hint="eastAsia" w:ascii="仿宋" w:hAnsi="仿宋" w:eastAsia="仿宋" w:cs="仿宋"/>
          <w:color w:val="000000"/>
          <w:sz w:val="32"/>
          <w:szCs w:val="32"/>
          <w:lang w:eastAsia="zh-CN"/>
        </w:rPr>
        <w:t>。</w:t>
      </w:r>
    </w:p>
    <w:tbl>
      <w:tblPr>
        <w:tblStyle w:val="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77"/>
        <w:gridCol w:w="4084"/>
        <w:gridCol w:w="994"/>
        <w:gridCol w:w="1085"/>
        <w:gridCol w:w="1298"/>
      </w:tblGrid>
      <w:tr w14:paraId="2DDDDA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77" w:type="dxa"/>
            <w:noWrap w:val="0"/>
            <w:vAlign w:val="center"/>
          </w:tcPr>
          <w:p w14:paraId="16A62F0B">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仿宋" w:hAnsi="仿宋" w:eastAsia="仿宋" w:cs="仿宋"/>
                <w:b/>
                <w:bCs/>
                <w:color w:val="000000"/>
                <w:kern w:val="0"/>
                <w:sz w:val="32"/>
                <w:szCs w:val="32"/>
              </w:rPr>
            </w:pPr>
            <w:r>
              <w:rPr>
                <w:rFonts w:hint="eastAsia" w:ascii="仿宋" w:hAnsi="仿宋" w:eastAsia="仿宋" w:cs="仿宋"/>
                <w:b/>
                <w:bCs/>
                <w:color w:val="000000"/>
                <w:kern w:val="0"/>
                <w:sz w:val="32"/>
                <w:szCs w:val="32"/>
              </w:rPr>
              <w:t>类别</w:t>
            </w:r>
          </w:p>
        </w:tc>
        <w:tc>
          <w:tcPr>
            <w:tcW w:w="4084" w:type="dxa"/>
            <w:noWrap w:val="0"/>
            <w:vAlign w:val="center"/>
          </w:tcPr>
          <w:p w14:paraId="6BA74573">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仿宋" w:hAnsi="仿宋" w:eastAsia="仿宋" w:cs="仿宋"/>
                <w:b/>
                <w:bCs/>
                <w:color w:val="000000"/>
                <w:kern w:val="0"/>
                <w:sz w:val="32"/>
                <w:szCs w:val="32"/>
              </w:rPr>
            </w:pPr>
            <w:r>
              <w:rPr>
                <w:rFonts w:hint="eastAsia" w:ascii="仿宋" w:hAnsi="仿宋" w:eastAsia="仿宋" w:cs="仿宋"/>
                <w:b/>
                <w:bCs/>
                <w:color w:val="000000"/>
                <w:kern w:val="0"/>
                <w:sz w:val="32"/>
                <w:szCs w:val="32"/>
              </w:rPr>
              <w:t>病种名称</w:t>
            </w:r>
          </w:p>
        </w:tc>
        <w:tc>
          <w:tcPr>
            <w:tcW w:w="994" w:type="dxa"/>
            <w:noWrap w:val="0"/>
            <w:vAlign w:val="center"/>
          </w:tcPr>
          <w:p w14:paraId="66670766">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仿宋" w:hAnsi="仿宋" w:eastAsia="仿宋" w:cs="仿宋"/>
                <w:b/>
                <w:bCs/>
                <w:color w:val="000000"/>
                <w:kern w:val="0"/>
                <w:sz w:val="32"/>
                <w:szCs w:val="32"/>
              </w:rPr>
            </w:pPr>
            <w:r>
              <w:rPr>
                <w:rFonts w:hint="eastAsia" w:ascii="仿宋" w:hAnsi="仿宋" w:eastAsia="仿宋" w:cs="仿宋"/>
                <w:b/>
                <w:bCs/>
                <w:color w:val="000000"/>
                <w:kern w:val="0"/>
                <w:sz w:val="32"/>
                <w:szCs w:val="32"/>
              </w:rPr>
              <w:t>起付线</w:t>
            </w:r>
          </w:p>
        </w:tc>
        <w:tc>
          <w:tcPr>
            <w:tcW w:w="1085" w:type="dxa"/>
            <w:noWrap w:val="0"/>
            <w:vAlign w:val="center"/>
          </w:tcPr>
          <w:p w14:paraId="301E1719">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仿宋" w:hAnsi="仿宋" w:eastAsia="仿宋" w:cs="仿宋"/>
                <w:b/>
                <w:bCs/>
                <w:color w:val="000000"/>
                <w:kern w:val="0"/>
                <w:sz w:val="32"/>
                <w:szCs w:val="32"/>
              </w:rPr>
            </w:pPr>
            <w:r>
              <w:rPr>
                <w:rFonts w:hint="eastAsia" w:ascii="仿宋" w:hAnsi="仿宋" w:eastAsia="仿宋" w:cs="仿宋"/>
                <w:b/>
                <w:bCs/>
                <w:color w:val="000000"/>
                <w:kern w:val="0"/>
                <w:sz w:val="32"/>
                <w:szCs w:val="32"/>
              </w:rPr>
              <w:t>报销比例</w:t>
            </w:r>
          </w:p>
        </w:tc>
        <w:tc>
          <w:tcPr>
            <w:tcW w:w="1298" w:type="dxa"/>
            <w:noWrap w:val="0"/>
            <w:vAlign w:val="center"/>
          </w:tcPr>
          <w:p w14:paraId="65347A6E">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仿宋" w:hAnsi="仿宋" w:eastAsia="仿宋" w:cs="仿宋"/>
                <w:b/>
                <w:bCs/>
                <w:color w:val="000000"/>
                <w:kern w:val="0"/>
                <w:sz w:val="32"/>
                <w:szCs w:val="32"/>
              </w:rPr>
            </w:pPr>
            <w:r>
              <w:rPr>
                <w:rFonts w:hint="eastAsia" w:ascii="仿宋" w:hAnsi="仿宋" w:eastAsia="仿宋" w:cs="仿宋"/>
                <w:b/>
                <w:bCs/>
                <w:color w:val="000000"/>
                <w:kern w:val="0"/>
                <w:sz w:val="32"/>
                <w:szCs w:val="32"/>
              </w:rPr>
              <w:t>最高支付限额</w:t>
            </w:r>
          </w:p>
        </w:tc>
      </w:tr>
      <w:tr w14:paraId="4E13BD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7" w:hRule="atLeast"/>
          <w:jc w:val="center"/>
        </w:trPr>
        <w:tc>
          <w:tcPr>
            <w:tcW w:w="1077" w:type="dxa"/>
            <w:vMerge w:val="restart"/>
            <w:noWrap w:val="0"/>
            <w:vAlign w:val="center"/>
          </w:tcPr>
          <w:p w14:paraId="15E0BFAD">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门</w:t>
            </w:r>
          </w:p>
          <w:p w14:paraId="3E1E4363">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诊</w:t>
            </w:r>
          </w:p>
          <w:p w14:paraId="3B154822">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特</w:t>
            </w:r>
          </w:p>
          <w:p w14:paraId="4004884B">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殊</w:t>
            </w:r>
          </w:p>
          <w:p w14:paraId="67E54836">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慢</w:t>
            </w:r>
          </w:p>
          <w:p w14:paraId="03048F89">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性</w:t>
            </w:r>
          </w:p>
          <w:p w14:paraId="394670FC">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病</w:t>
            </w:r>
          </w:p>
        </w:tc>
        <w:tc>
          <w:tcPr>
            <w:tcW w:w="4084" w:type="dxa"/>
            <w:noWrap w:val="0"/>
            <w:vAlign w:val="center"/>
          </w:tcPr>
          <w:p w14:paraId="09BB1C47">
            <w:pPr>
              <w:keepNext w:val="0"/>
              <w:keepLines w:val="0"/>
              <w:pageBreakBefore w:val="0"/>
              <w:widowControl/>
              <w:numPr>
                <w:ilvl w:val="0"/>
                <w:numId w:val="2"/>
              </w:numPr>
              <w:kinsoku/>
              <w:wordWrap/>
              <w:overflowPunct/>
              <w:topLinePunct w:val="0"/>
              <w:autoSpaceDE/>
              <w:autoSpaceDN/>
              <w:bidi w:val="0"/>
              <w:adjustRightInd/>
              <w:snapToGrid/>
              <w:spacing w:line="560" w:lineRule="exact"/>
              <w:jc w:val="both"/>
              <w:textAlignment w:val="auto"/>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恶性肿瘤放化疗；2.恶性肿瘤门诊用药；3.慢性肾功能衰竭尿毒症期门诊血液透析；4.人体器官移植术后服抗排斥药；</w:t>
            </w:r>
          </w:p>
        </w:tc>
        <w:tc>
          <w:tcPr>
            <w:tcW w:w="994" w:type="dxa"/>
            <w:noWrap w:val="0"/>
            <w:vAlign w:val="center"/>
          </w:tcPr>
          <w:p w14:paraId="4A1BA0AB">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0</w:t>
            </w:r>
          </w:p>
        </w:tc>
        <w:tc>
          <w:tcPr>
            <w:tcW w:w="1085" w:type="dxa"/>
            <w:noWrap w:val="0"/>
            <w:vAlign w:val="center"/>
          </w:tcPr>
          <w:p w14:paraId="0E5DD09C">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85%</w:t>
            </w:r>
          </w:p>
        </w:tc>
        <w:tc>
          <w:tcPr>
            <w:tcW w:w="1298" w:type="dxa"/>
            <w:noWrap w:val="0"/>
            <w:vAlign w:val="center"/>
          </w:tcPr>
          <w:p w14:paraId="473E55B7">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仿宋" w:hAnsi="仿宋" w:eastAsia="仿宋" w:cs="仿宋"/>
                <w:color w:val="000000"/>
                <w:kern w:val="0"/>
                <w:sz w:val="32"/>
                <w:szCs w:val="32"/>
                <w:lang w:val="en-US" w:eastAsia="zh-CN"/>
              </w:rPr>
            </w:pPr>
            <w:r>
              <w:rPr>
                <w:rFonts w:hint="eastAsia" w:ascii="仿宋" w:hAnsi="仿宋" w:eastAsia="仿宋" w:cs="仿宋"/>
                <w:color w:val="000000"/>
                <w:kern w:val="0"/>
                <w:sz w:val="32"/>
                <w:szCs w:val="32"/>
              </w:rPr>
              <w:t>20000</w:t>
            </w:r>
            <w:r>
              <w:rPr>
                <w:rFonts w:hint="eastAsia" w:ascii="仿宋" w:hAnsi="仿宋" w:eastAsia="仿宋" w:cs="仿宋"/>
                <w:color w:val="000000"/>
                <w:kern w:val="0"/>
                <w:sz w:val="32"/>
                <w:szCs w:val="32"/>
                <w:lang w:val="en-US" w:eastAsia="zh-CN"/>
              </w:rPr>
              <w:t>0</w:t>
            </w:r>
          </w:p>
        </w:tc>
      </w:tr>
      <w:tr w14:paraId="1FA564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jc w:val="center"/>
        </w:trPr>
        <w:tc>
          <w:tcPr>
            <w:tcW w:w="1077" w:type="dxa"/>
            <w:vMerge w:val="continue"/>
            <w:noWrap w:val="0"/>
            <w:vAlign w:val="center"/>
          </w:tcPr>
          <w:p w14:paraId="283768C6">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color w:val="000000"/>
                <w:kern w:val="0"/>
                <w:sz w:val="32"/>
                <w:szCs w:val="32"/>
              </w:rPr>
            </w:pPr>
          </w:p>
        </w:tc>
        <w:tc>
          <w:tcPr>
            <w:tcW w:w="4084" w:type="dxa"/>
            <w:noWrap w:val="0"/>
            <w:vAlign w:val="center"/>
          </w:tcPr>
          <w:p w14:paraId="0BB4F26E">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1.冠状动脉粥样硬化性心脏病（不含隐匿型）；2.慢性肺源性心脏病；3.原发性高血压（Ⅱ期以上）；4.脑血管病恢复期；5.肝硬化失代偿期；6.糖尿病合并慢性并发症；7.慢性肾小球肾炎及肾病综合症；8.精神疾病；9.红斑狼疮；10.帕金森综合症；11.支气管炎；12.支气管肺炎；13.心肌炎；14.过敏性紫癜；15.泌尿系感染；16.急性肾小球肾炎；17.血小板减少性紫癜；18.营养性贫血； 19.抑郁症门诊使用抗抑郁药物；20.结核病；21.强直性脊柱炎；22.硬皮病；23.先天性心脏病</w:t>
            </w:r>
          </w:p>
        </w:tc>
        <w:tc>
          <w:tcPr>
            <w:tcW w:w="994" w:type="dxa"/>
            <w:noWrap w:val="0"/>
            <w:vAlign w:val="center"/>
          </w:tcPr>
          <w:p w14:paraId="29495B7C">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0</w:t>
            </w:r>
          </w:p>
        </w:tc>
        <w:tc>
          <w:tcPr>
            <w:tcW w:w="1085" w:type="dxa"/>
            <w:noWrap w:val="0"/>
            <w:vAlign w:val="center"/>
          </w:tcPr>
          <w:p w14:paraId="2CEFF72F">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80%</w:t>
            </w:r>
          </w:p>
        </w:tc>
        <w:tc>
          <w:tcPr>
            <w:tcW w:w="1298" w:type="dxa"/>
            <w:noWrap w:val="0"/>
            <w:vAlign w:val="center"/>
          </w:tcPr>
          <w:p w14:paraId="4A4AAC16">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5000</w:t>
            </w:r>
          </w:p>
        </w:tc>
      </w:tr>
      <w:tr w14:paraId="7AC6A7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atLeast"/>
          <w:jc w:val="center"/>
        </w:trPr>
        <w:tc>
          <w:tcPr>
            <w:tcW w:w="1077" w:type="dxa"/>
            <w:vMerge w:val="continue"/>
            <w:noWrap w:val="0"/>
            <w:vAlign w:val="center"/>
          </w:tcPr>
          <w:p w14:paraId="304D1021">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color w:val="000000"/>
                <w:kern w:val="0"/>
                <w:sz w:val="32"/>
                <w:szCs w:val="32"/>
              </w:rPr>
            </w:pPr>
          </w:p>
        </w:tc>
        <w:tc>
          <w:tcPr>
            <w:tcW w:w="4084" w:type="dxa"/>
            <w:noWrap w:val="0"/>
            <w:vAlign w:val="center"/>
          </w:tcPr>
          <w:p w14:paraId="7C390F80">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1、慢性活动性肝炎</w:t>
            </w:r>
          </w:p>
        </w:tc>
        <w:tc>
          <w:tcPr>
            <w:tcW w:w="994" w:type="dxa"/>
            <w:noWrap w:val="0"/>
            <w:vAlign w:val="center"/>
          </w:tcPr>
          <w:p w14:paraId="10869F9B">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0</w:t>
            </w:r>
          </w:p>
        </w:tc>
        <w:tc>
          <w:tcPr>
            <w:tcW w:w="1085" w:type="dxa"/>
            <w:noWrap w:val="0"/>
            <w:vAlign w:val="center"/>
          </w:tcPr>
          <w:p w14:paraId="4FDB2EBA">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85%</w:t>
            </w:r>
          </w:p>
        </w:tc>
        <w:tc>
          <w:tcPr>
            <w:tcW w:w="1298" w:type="dxa"/>
            <w:noWrap w:val="0"/>
            <w:vAlign w:val="center"/>
          </w:tcPr>
          <w:p w14:paraId="411456D0">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10000</w:t>
            </w:r>
          </w:p>
        </w:tc>
      </w:tr>
      <w:tr w14:paraId="4340B7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9" w:hRule="atLeast"/>
          <w:jc w:val="center"/>
        </w:trPr>
        <w:tc>
          <w:tcPr>
            <w:tcW w:w="1077" w:type="dxa"/>
            <w:vMerge w:val="continue"/>
            <w:noWrap w:val="0"/>
            <w:vAlign w:val="center"/>
          </w:tcPr>
          <w:p w14:paraId="5D1046DD">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color w:val="000000"/>
                <w:kern w:val="0"/>
                <w:sz w:val="32"/>
                <w:szCs w:val="32"/>
              </w:rPr>
            </w:pPr>
          </w:p>
        </w:tc>
        <w:tc>
          <w:tcPr>
            <w:tcW w:w="4084" w:type="dxa"/>
            <w:noWrap w:val="0"/>
            <w:vAlign w:val="center"/>
          </w:tcPr>
          <w:p w14:paraId="35B1D3A8">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1.再生障碍性贫血；2.白血病；3.血友病；4.生长激素缺乏症门诊使用重组人生长激素。</w:t>
            </w:r>
          </w:p>
        </w:tc>
        <w:tc>
          <w:tcPr>
            <w:tcW w:w="994" w:type="dxa"/>
            <w:noWrap w:val="0"/>
            <w:vAlign w:val="center"/>
          </w:tcPr>
          <w:p w14:paraId="6A581292">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0</w:t>
            </w:r>
          </w:p>
        </w:tc>
        <w:tc>
          <w:tcPr>
            <w:tcW w:w="1085" w:type="dxa"/>
            <w:noWrap w:val="0"/>
            <w:vAlign w:val="center"/>
          </w:tcPr>
          <w:p w14:paraId="0637FA89">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85%</w:t>
            </w:r>
          </w:p>
        </w:tc>
        <w:tc>
          <w:tcPr>
            <w:tcW w:w="1298" w:type="dxa"/>
            <w:noWrap w:val="0"/>
            <w:vAlign w:val="center"/>
          </w:tcPr>
          <w:p w14:paraId="2625C97E">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20000</w:t>
            </w:r>
          </w:p>
        </w:tc>
      </w:tr>
    </w:tbl>
    <w:p w14:paraId="3DF985D2">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color w:val="000000"/>
          <w:sz w:val="32"/>
          <w:szCs w:val="32"/>
          <w:lang w:val="en-US" w:eastAsia="zh-CN"/>
        </w:rPr>
      </w:pPr>
      <w:r>
        <w:rPr>
          <w:rFonts w:hint="eastAsia" w:ascii="仿宋" w:hAnsi="仿宋" w:eastAsia="仿宋" w:cs="仿宋"/>
          <w:color w:val="000000"/>
          <w:sz w:val="32"/>
          <w:szCs w:val="32"/>
          <w:lang w:val="en-US" w:eastAsia="zh-CN"/>
        </w:rPr>
        <w:t>5.门诊抢救：凡昏迷、严重休克、大出血、中毒、严重脱水、高热惊厥、严重创伤所致严重呼吸困难、自发性或损伤性气胸、血气胸、喉梗塞及气管支气管堵塞、严重心律失常，各种原因造成内外出血危及生命者，急性心力衰竭、呼吸衰竭、肾功能衰竭等生命体征改变者，按住院比例报销。</w:t>
      </w:r>
    </w:p>
    <w:p w14:paraId="353FE174">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lang w:val="en-US" w:eastAsia="zh-CN"/>
        </w:rPr>
        <w:t>6.住院：</w:t>
      </w:r>
      <w:r>
        <w:rPr>
          <w:rFonts w:hint="eastAsia" w:ascii="仿宋" w:hAnsi="仿宋" w:eastAsia="仿宋" w:cs="仿宋"/>
          <w:color w:val="000000"/>
          <w:sz w:val="32"/>
          <w:szCs w:val="32"/>
        </w:rPr>
        <w:t>在基本医疗保险定点医疗机构发生的符合政策规定的住院费用，设定统筹基金起付标准和年度累计最高支付限额。</w:t>
      </w:r>
    </w:p>
    <w:tbl>
      <w:tblPr>
        <w:tblStyle w:val="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985"/>
        <w:gridCol w:w="2331"/>
        <w:gridCol w:w="2295"/>
      </w:tblGrid>
      <w:tr w14:paraId="2DE01F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atLeast"/>
          <w:jc w:val="center"/>
        </w:trPr>
        <w:tc>
          <w:tcPr>
            <w:tcW w:w="3985" w:type="dxa"/>
            <w:noWrap w:val="0"/>
            <w:vAlign w:val="center"/>
          </w:tcPr>
          <w:p w14:paraId="6F05CB4F">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仿宋" w:hAnsi="仿宋" w:eastAsia="仿宋" w:cs="仿宋"/>
                <w:b/>
                <w:color w:val="000000"/>
                <w:sz w:val="32"/>
                <w:szCs w:val="32"/>
              </w:rPr>
            </w:pPr>
            <w:r>
              <w:rPr>
                <w:rFonts w:hint="eastAsia" w:ascii="仿宋" w:hAnsi="仿宋" w:eastAsia="仿宋" w:cs="仿宋"/>
                <w:b/>
                <w:color w:val="000000"/>
                <w:sz w:val="32"/>
                <w:szCs w:val="32"/>
              </w:rPr>
              <w:t>医院级别</w:t>
            </w:r>
          </w:p>
        </w:tc>
        <w:tc>
          <w:tcPr>
            <w:tcW w:w="2331" w:type="dxa"/>
            <w:noWrap w:val="0"/>
            <w:vAlign w:val="center"/>
          </w:tcPr>
          <w:p w14:paraId="5FE5CD17">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仿宋" w:hAnsi="仿宋" w:eastAsia="仿宋" w:cs="仿宋"/>
                <w:b/>
                <w:color w:val="000000"/>
                <w:sz w:val="32"/>
                <w:szCs w:val="32"/>
              </w:rPr>
            </w:pPr>
            <w:r>
              <w:rPr>
                <w:rFonts w:hint="eastAsia" w:ascii="仿宋" w:hAnsi="仿宋" w:eastAsia="仿宋" w:cs="仿宋"/>
                <w:b/>
                <w:color w:val="000000"/>
                <w:sz w:val="32"/>
                <w:szCs w:val="32"/>
              </w:rPr>
              <w:t>起付标准</w:t>
            </w:r>
          </w:p>
        </w:tc>
        <w:tc>
          <w:tcPr>
            <w:tcW w:w="2295" w:type="dxa"/>
            <w:noWrap w:val="0"/>
            <w:vAlign w:val="center"/>
          </w:tcPr>
          <w:p w14:paraId="132F980F">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仿宋" w:hAnsi="仿宋" w:eastAsia="仿宋" w:cs="仿宋"/>
                <w:b/>
                <w:color w:val="000000"/>
                <w:sz w:val="32"/>
                <w:szCs w:val="32"/>
              </w:rPr>
            </w:pPr>
            <w:r>
              <w:rPr>
                <w:rFonts w:hint="eastAsia" w:ascii="仿宋" w:hAnsi="仿宋" w:eastAsia="仿宋" w:cs="仿宋"/>
                <w:b/>
                <w:color w:val="000000"/>
                <w:sz w:val="32"/>
                <w:szCs w:val="32"/>
              </w:rPr>
              <w:t>支付比例</w:t>
            </w:r>
          </w:p>
        </w:tc>
      </w:tr>
      <w:tr w14:paraId="0AE57E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3985" w:type="dxa"/>
            <w:noWrap w:val="0"/>
            <w:vAlign w:val="center"/>
          </w:tcPr>
          <w:p w14:paraId="271287AE">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社区卫生服务机构</w:t>
            </w:r>
          </w:p>
        </w:tc>
        <w:tc>
          <w:tcPr>
            <w:tcW w:w="2331" w:type="dxa"/>
            <w:noWrap w:val="0"/>
            <w:vAlign w:val="center"/>
          </w:tcPr>
          <w:p w14:paraId="687AF241">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100</w:t>
            </w:r>
          </w:p>
        </w:tc>
        <w:tc>
          <w:tcPr>
            <w:tcW w:w="2295" w:type="dxa"/>
            <w:noWrap w:val="0"/>
            <w:vAlign w:val="center"/>
          </w:tcPr>
          <w:p w14:paraId="2728B2B9">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92%</w:t>
            </w:r>
          </w:p>
        </w:tc>
      </w:tr>
      <w:tr w14:paraId="014CBD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 w:hRule="atLeast"/>
          <w:jc w:val="center"/>
        </w:trPr>
        <w:tc>
          <w:tcPr>
            <w:tcW w:w="3985" w:type="dxa"/>
            <w:noWrap w:val="0"/>
            <w:vAlign w:val="center"/>
          </w:tcPr>
          <w:p w14:paraId="5AB647B8">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一级医院</w:t>
            </w:r>
          </w:p>
        </w:tc>
        <w:tc>
          <w:tcPr>
            <w:tcW w:w="2331" w:type="dxa"/>
            <w:noWrap w:val="0"/>
            <w:vAlign w:val="center"/>
          </w:tcPr>
          <w:p w14:paraId="77B9EDC1">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100</w:t>
            </w:r>
          </w:p>
        </w:tc>
        <w:tc>
          <w:tcPr>
            <w:tcW w:w="2295" w:type="dxa"/>
            <w:noWrap w:val="0"/>
            <w:vAlign w:val="center"/>
          </w:tcPr>
          <w:p w14:paraId="16759D55">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92%</w:t>
            </w:r>
          </w:p>
        </w:tc>
      </w:tr>
      <w:tr w14:paraId="3D646B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3985" w:type="dxa"/>
            <w:noWrap w:val="0"/>
            <w:vAlign w:val="center"/>
          </w:tcPr>
          <w:p w14:paraId="06058281">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二级医院</w:t>
            </w:r>
          </w:p>
        </w:tc>
        <w:tc>
          <w:tcPr>
            <w:tcW w:w="2331" w:type="dxa"/>
            <w:noWrap w:val="0"/>
            <w:vAlign w:val="center"/>
          </w:tcPr>
          <w:p w14:paraId="1F27E729">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200</w:t>
            </w:r>
          </w:p>
        </w:tc>
        <w:tc>
          <w:tcPr>
            <w:tcW w:w="2295" w:type="dxa"/>
            <w:noWrap w:val="0"/>
            <w:vAlign w:val="center"/>
          </w:tcPr>
          <w:p w14:paraId="6766EE38">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90%</w:t>
            </w:r>
          </w:p>
        </w:tc>
      </w:tr>
      <w:tr w14:paraId="1B52C8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3985" w:type="dxa"/>
            <w:noWrap w:val="0"/>
            <w:vAlign w:val="center"/>
          </w:tcPr>
          <w:p w14:paraId="4E74F41B">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三级医院</w:t>
            </w:r>
          </w:p>
        </w:tc>
        <w:tc>
          <w:tcPr>
            <w:tcW w:w="2331" w:type="dxa"/>
            <w:noWrap w:val="0"/>
            <w:vAlign w:val="center"/>
          </w:tcPr>
          <w:p w14:paraId="26F680B3">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300</w:t>
            </w:r>
          </w:p>
        </w:tc>
        <w:tc>
          <w:tcPr>
            <w:tcW w:w="2295" w:type="dxa"/>
            <w:noWrap w:val="0"/>
            <w:vAlign w:val="center"/>
          </w:tcPr>
          <w:p w14:paraId="4D9D218D">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82%</w:t>
            </w:r>
          </w:p>
        </w:tc>
      </w:tr>
    </w:tbl>
    <w:p w14:paraId="202B0689">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sz w:val="32"/>
          <w:szCs w:val="32"/>
          <w:lang w:val="en-US" w:eastAsia="zh-CN"/>
        </w:rPr>
      </w:pPr>
      <w:r>
        <w:rPr>
          <w:rFonts w:hint="eastAsia" w:ascii="仿宋" w:hAnsi="仿宋" w:eastAsia="仿宋" w:cs="仿宋"/>
          <w:b w:val="0"/>
          <w:bCs/>
          <w:color w:val="000000"/>
          <w:sz w:val="32"/>
          <w:szCs w:val="32"/>
          <w:lang w:val="en-US" w:eastAsia="zh-CN"/>
        </w:rPr>
        <w:t>7.</w:t>
      </w:r>
      <w:r>
        <w:rPr>
          <w:rFonts w:hint="eastAsia" w:ascii="仿宋" w:hAnsi="仿宋" w:eastAsia="仿宋" w:cs="仿宋"/>
          <w:b w:val="0"/>
          <w:bCs/>
          <w:color w:val="000000"/>
          <w:sz w:val="32"/>
          <w:szCs w:val="32"/>
        </w:rPr>
        <w:t>生育待遇：</w:t>
      </w:r>
      <w:r>
        <w:rPr>
          <w:rFonts w:hint="eastAsia" w:ascii="仿宋" w:hAnsi="仿宋" w:eastAsia="仿宋" w:cs="仿宋"/>
          <w:sz w:val="32"/>
          <w:szCs w:val="32"/>
        </w:rPr>
        <w:t>正常分娩最高限额2000元，剖宫产最高限额3000元。生育费用低于限额标准的，按实际发生费用补贴；高于限额标准的，按限额标准补贴。</w:t>
      </w:r>
    </w:p>
    <w:p w14:paraId="746A3A35">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lang w:eastAsia="zh-CN"/>
        </w:rPr>
      </w:pPr>
      <w:r>
        <w:rPr>
          <w:rFonts w:hint="eastAsia" w:ascii="黑体" w:hAnsi="黑体" w:eastAsia="黑体" w:cs="黑体"/>
          <w:sz w:val="32"/>
          <w:szCs w:val="32"/>
          <w:lang w:eastAsia="zh-CN"/>
        </w:rPr>
        <w:t>异地就医</w:t>
      </w:r>
    </w:p>
    <w:p w14:paraId="7DCB5E4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楷体" w:hAnsi="楷体" w:eastAsia="楷体" w:cs="楷体"/>
          <w:b w:val="0"/>
          <w:bCs w:val="0"/>
          <w:sz w:val="32"/>
          <w:szCs w:val="32"/>
          <w:lang w:eastAsia="zh-CN"/>
        </w:rPr>
      </w:pPr>
      <w:r>
        <w:rPr>
          <w:rFonts w:hint="eastAsia" w:ascii="楷体" w:hAnsi="楷体" w:eastAsia="楷体" w:cs="楷体"/>
          <w:b w:val="0"/>
          <w:bCs w:val="0"/>
          <w:sz w:val="32"/>
          <w:szCs w:val="32"/>
          <w:lang w:val="en-US" w:eastAsia="zh-CN"/>
        </w:rPr>
        <w:t>（一）省内住院</w:t>
      </w:r>
    </w:p>
    <w:p w14:paraId="6391021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1. 入院治疗：</w:t>
      </w:r>
      <w:r>
        <w:rPr>
          <w:rFonts w:hint="eastAsia" w:ascii="仿宋" w:hAnsi="仿宋" w:eastAsia="仿宋" w:cs="仿宋"/>
          <w:sz w:val="32"/>
          <w:szCs w:val="32"/>
          <w:lang w:eastAsia="zh-CN"/>
        </w:rPr>
        <w:t>参保大学生</w:t>
      </w:r>
      <w:r>
        <w:rPr>
          <w:rFonts w:hint="eastAsia" w:ascii="仿宋" w:hAnsi="仿宋" w:eastAsia="仿宋" w:cs="仿宋"/>
          <w:sz w:val="32"/>
          <w:szCs w:val="32"/>
        </w:rPr>
        <w:t>持本人医保电子凭证到</w:t>
      </w:r>
      <w:r>
        <w:rPr>
          <w:rFonts w:hint="eastAsia" w:ascii="仿宋" w:hAnsi="仿宋" w:eastAsia="仿宋" w:cs="仿宋"/>
          <w:sz w:val="32"/>
          <w:szCs w:val="32"/>
          <w:lang w:eastAsia="zh-CN"/>
        </w:rPr>
        <w:t>就诊</w:t>
      </w:r>
      <w:r>
        <w:rPr>
          <w:rFonts w:hint="eastAsia" w:ascii="仿宋" w:hAnsi="仿宋" w:eastAsia="仿宋" w:cs="仿宋"/>
          <w:sz w:val="32"/>
          <w:szCs w:val="32"/>
        </w:rPr>
        <w:t>医院</w:t>
      </w:r>
      <w:r>
        <w:rPr>
          <w:rFonts w:hint="eastAsia" w:ascii="仿宋" w:hAnsi="仿宋" w:eastAsia="仿宋" w:cs="仿宋"/>
          <w:sz w:val="32"/>
          <w:szCs w:val="32"/>
          <w:lang w:eastAsia="zh-CN"/>
        </w:rPr>
        <w:t>（医保定点医院）</w:t>
      </w:r>
      <w:r>
        <w:rPr>
          <w:rFonts w:hint="eastAsia" w:ascii="仿宋" w:hAnsi="仿宋" w:eastAsia="仿宋" w:cs="仿宋"/>
          <w:sz w:val="32"/>
          <w:szCs w:val="32"/>
        </w:rPr>
        <w:t>办理</w:t>
      </w:r>
      <w:r>
        <w:rPr>
          <w:rFonts w:hint="eastAsia" w:ascii="仿宋" w:hAnsi="仿宋" w:eastAsia="仿宋" w:cs="仿宋"/>
          <w:sz w:val="32"/>
          <w:szCs w:val="32"/>
          <w:lang w:eastAsia="zh-CN"/>
        </w:rPr>
        <w:t>医保</w:t>
      </w:r>
      <w:r>
        <w:rPr>
          <w:rFonts w:hint="eastAsia" w:ascii="仿宋" w:hAnsi="仿宋" w:eastAsia="仿宋" w:cs="仿宋"/>
          <w:sz w:val="32"/>
          <w:szCs w:val="32"/>
        </w:rPr>
        <w:t>登记手续；</w:t>
      </w:r>
    </w:p>
    <w:p w14:paraId="180BA18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b/>
          <w:bCs/>
          <w:sz w:val="32"/>
          <w:szCs w:val="32"/>
          <w:lang w:eastAsia="zh-CN"/>
        </w:rPr>
      </w:pPr>
      <w:r>
        <w:rPr>
          <w:rFonts w:hint="eastAsia" w:ascii="仿宋" w:hAnsi="仿宋" w:eastAsia="仿宋" w:cs="仿宋"/>
          <w:sz w:val="32"/>
          <w:szCs w:val="32"/>
        </w:rPr>
        <w:t>2. 出院结算：住院治疗结束后，</w:t>
      </w:r>
      <w:r>
        <w:rPr>
          <w:rFonts w:hint="eastAsia" w:ascii="仿宋" w:hAnsi="仿宋" w:eastAsia="仿宋" w:cs="仿宋"/>
          <w:sz w:val="32"/>
          <w:szCs w:val="32"/>
          <w:lang w:eastAsia="zh-CN"/>
        </w:rPr>
        <w:t>参保大学生</w:t>
      </w:r>
      <w:r>
        <w:rPr>
          <w:rFonts w:hint="eastAsia" w:ascii="仿宋" w:hAnsi="仿宋" w:eastAsia="仿宋" w:cs="仿宋"/>
          <w:sz w:val="32"/>
          <w:szCs w:val="32"/>
        </w:rPr>
        <w:t>仅需要支付按规定个人负担的费用，其余由统筹基金支付。</w:t>
      </w:r>
    </w:p>
    <w:p w14:paraId="4BA7A6A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 w:hAnsi="楷体" w:eastAsia="楷体" w:cs="楷体"/>
          <w:b w:val="0"/>
          <w:bCs w:val="0"/>
          <w:sz w:val="32"/>
          <w:szCs w:val="32"/>
          <w:lang w:eastAsia="zh-CN"/>
        </w:rPr>
      </w:pPr>
      <w:r>
        <w:rPr>
          <w:rFonts w:hint="eastAsia" w:ascii="楷体" w:hAnsi="楷体" w:eastAsia="楷体" w:cs="楷体"/>
          <w:b w:val="0"/>
          <w:bCs w:val="0"/>
          <w:sz w:val="32"/>
          <w:szCs w:val="32"/>
          <w:lang w:eastAsia="zh-CN"/>
        </w:rPr>
        <w:t>（二）省外住院</w:t>
      </w:r>
    </w:p>
    <w:p w14:paraId="268A33A7">
      <w:pPr>
        <w:keepNext w:val="0"/>
        <w:keepLines w:val="0"/>
        <w:pageBreakBefore w:val="0"/>
        <w:widowControl w:val="0"/>
        <w:numPr>
          <w:ilvl w:val="0"/>
          <w:numId w:val="3"/>
        </w:numPr>
        <w:kinsoku/>
        <w:wordWrap/>
        <w:overflowPunct/>
        <w:topLinePunct w:val="0"/>
        <w:autoSpaceDE/>
        <w:autoSpaceDN/>
        <w:bidi w:val="0"/>
        <w:adjustRightInd/>
        <w:snapToGrid/>
        <w:spacing w:line="560" w:lineRule="exact"/>
        <w:ind w:left="0" w:leftChars="0"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根据自己实际情况办理异地常住或临时备案手续，在备案地出院时直接享受报销。</w:t>
      </w:r>
    </w:p>
    <w:p w14:paraId="4AD5CE81">
      <w:pPr>
        <w:keepNext w:val="0"/>
        <w:keepLines w:val="0"/>
        <w:pageBreakBefore w:val="0"/>
        <w:widowControl w:val="0"/>
        <w:numPr>
          <w:ilvl w:val="0"/>
          <w:numId w:val="3"/>
        </w:numPr>
        <w:kinsoku/>
        <w:wordWrap/>
        <w:overflowPunct/>
        <w:topLinePunct w:val="0"/>
        <w:autoSpaceDE/>
        <w:autoSpaceDN/>
        <w:bidi w:val="0"/>
        <w:adjustRightInd/>
        <w:snapToGrid/>
        <w:spacing w:line="560" w:lineRule="exact"/>
        <w:ind w:left="0" w:leftChars="0"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虽备案成功但备案地的就诊医院不能正常读取信息所导致的无法实时结算享受报销的，住院费用全额自费，材料交于校医院医保办，由医保办转交杨陵区医保中心进行现金报销。</w:t>
      </w:r>
    </w:p>
    <w:p w14:paraId="1650528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黑体" w:hAnsi="黑体" w:eastAsia="黑体" w:cs="黑体"/>
          <w:color w:val="000000"/>
          <w:sz w:val="32"/>
          <w:szCs w:val="32"/>
        </w:rPr>
      </w:pPr>
      <w:r>
        <w:rPr>
          <w:rFonts w:hint="eastAsia" w:ascii="黑体" w:hAnsi="黑体" w:eastAsia="黑体" w:cs="黑体"/>
          <w:color w:val="000000"/>
          <w:sz w:val="32"/>
          <w:szCs w:val="32"/>
          <w:lang w:eastAsia="zh-CN"/>
        </w:rPr>
        <w:t>四、</w:t>
      </w:r>
      <w:r>
        <w:rPr>
          <w:rFonts w:hint="eastAsia" w:ascii="黑体" w:hAnsi="黑体" w:eastAsia="黑体" w:cs="黑体"/>
          <w:color w:val="000000"/>
          <w:sz w:val="32"/>
          <w:szCs w:val="32"/>
        </w:rPr>
        <w:t>大学生医保基金不予支付的医疗费用</w:t>
      </w:r>
    </w:p>
    <w:p w14:paraId="696E734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①基本医疗药品目录、诊疗项目和服务设施标准以外的费用（急救除外）。②健康体检、</w:t>
      </w:r>
      <w:r>
        <w:rPr>
          <w:rFonts w:hint="eastAsia" w:ascii="仿宋" w:hAnsi="仿宋" w:eastAsia="仿宋" w:cs="仿宋"/>
          <w:color w:val="auto"/>
          <w:sz w:val="32"/>
          <w:szCs w:val="32"/>
          <w:lang w:eastAsia="zh-CN"/>
        </w:rPr>
        <w:t>疫苗接种</w:t>
      </w:r>
      <w:r>
        <w:rPr>
          <w:rFonts w:hint="eastAsia" w:ascii="仿宋" w:hAnsi="仿宋" w:eastAsia="仿宋" w:cs="仿宋"/>
          <w:color w:val="auto"/>
          <w:sz w:val="32"/>
          <w:szCs w:val="32"/>
        </w:rPr>
        <w:t>、</w:t>
      </w:r>
      <w:r>
        <w:rPr>
          <w:rFonts w:hint="eastAsia" w:ascii="仿宋" w:hAnsi="仿宋" w:eastAsia="仿宋" w:cs="仿宋"/>
          <w:color w:val="000000"/>
          <w:sz w:val="32"/>
          <w:szCs w:val="32"/>
        </w:rPr>
        <w:t>预防保健、</w:t>
      </w:r>
      <w:r>
        <w:rPr>
          <w:rFonts w:hint="eastAsia" w:ascii="仿宋" w:hAnsi="仿宋" w:eastAsia="仿宋" w:cs="仿宋"/>
          <w:color w:val="000000"/>
          <w:sz w:val="32"/>
          <w:szCs w:val="32"/>
          <w:lang w:eastAsia="zh-CN"/>
        </w:rPr>
        <w:t>健康</w:t>
      </w:r>
      <w:r>
        <w:rPr>
          <w:rFonts w:hint="eastAsia" w:ascii="仿宋" w:hAnsi="仿宋" w:eastAsia="仿宋" w:cs="仿宋"/>
          <w:color w:val="000000"/>
          <w:sz w:val="32"/>
          <w:szCs w:val="32"/>
        </w:rPr>
        <w:t>教育等公共卫生服务的费用。③未在西北农林科技大学医院办理转诊转院审批备案手续，自行外出就医的医疗费用。④整形、美容、酗酒、吸毒、打架斗殴、自杀、自残、自焚及违法犯罪行为所致的医疗费用，以及因医疗事故所增加的医疗费用。⑤</w:t>
      </w:r>
      <w:r>
        <w:rPr>
          <w:rFonts w:hint="eastAsia" w:ascii="仿宋" w:hAnsi="仿宋" w:eastAsia="仿宋" w:cs="仿宋"/>
          <w:color w:val="000000"/>
          <w:sz w:val="32"/>
          <w:szCs w:val="32"/>
          <w:lang w:eastAsia="zh-CN"/>
        </w:rPr>
        <w:t>因第三方导致的意外伤害。⑥</w:t>
      </w:r>
      <w:r>
        <w:rPr>
          <w:rFonts w:hint="eastAsia" w:ascii="仿宋" w:hAnsi="仿宋" w:eastAsia="仿宋" w:cs="仿宋"/>
          <w:color w:val="000000"/>
          <w:sz w:val="32"/>
          <w:szCs w:val="32"/>
        </w:rPr>
        <w:t>按有关规定不予支付的其他费用。</w:t>
      </w:r>
    </w:p>
    <w:p w14:paraId="387186D9">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黑体" w:hAnsi="黑体" w:eastAsia="黑体" w:cs="黑体"/>
          <w:color w:val="000000"/>
          <w:sz w:val="32"/>
          <w:szCs w:val="32"/>
          <w:lang w:eastAsia="zh-CN"/>
        </w:rPr>
      </w:pPr>
      <w:r>
        <w:rPr>
          <w:rFonts w:hint="eastAsia" w:ascii="黑体" w:hAnsi="黑体" w:eastAsia="黑体" w:cs="黑体"/>
          <w:color w:val="000000"/>
          <w:sz w:val="32"/>
          <w:szCs w:val="32"/>
          <w:lang w:eastAsia="zh-CN"/>
        </w:rPr>
        <w:t>五</w:t>
      </w:r>
      <w:r>
        <w:rPr>
          <w:rFonts w:hint="eastAsia" w:ascii="黑体" w:hAnsi="黑体" w:eastAsia="黑体" w:cs="黑体"/>
          <w:color w:val="000000"/>
          <w:sz w:val="32"/>
          <w:szCs w:val="32"/>
        </w:rPr>
        <w:t>、大学生医保住院费用</w:t>
      </w:r>
      <w:r>
        <w:rPr>
          <w:rFonts w:hint="eastAsia" w:ascii="黑体" w:hAnsi="黑体" w:eastAsia="黑体" w:cs="黑体"/>
          <w:color w:val="000000"/>
          <w:sz w:val="32"/>
          <w:szCs w:val="32"/>
          <w:lang w:eastAsia="zh-CN"/>
        </w:rPr>
        <w:t>的</w:t>
      </w:r>
      <w:r>
        <w:rPr>
          <w:rFonts w:hint="eastAsia" w:ascii="黑体" w:hAnsi="黑体" w:eastAsia="黑体" w:cs="黑体"/>
          <w:color w:val="000000"/>
          <w:sz w:val="32"/>
          <w:szCs w:val="32"/>
        </w:rPr>
        <w:t>二次补助</w:t>
      </w:r>
      <w:r>
        <w:rPr>
          <w:rFonts w:hint="eastAsia" w:ascii="黑体" w:hAnsi="黑体" w:eastAsia="黑体" w:cs="黑体"/>
          <w:color w:val="000000"/>
          <w:sz w:val="32"/>
          <w:szCs w:val="32"/>
          <w:lang w:eastAsia="zh-CN"/>
        </w:rPr>
        <w:t>及</w:t>
      </w:r>
      <w:r>
        <w:rPr>
          <w:rFonts w:hint="eastAsia" w:ascii="黑体" w:hAnsi="黑体" w:eastAsia="黑体" w:cs="黑体"/>
          <w:color w:val="000000"/>
          <w:sz w:val="32"/>
          <w:szCs w:val="32"/>
        </w:rPr>
        <w:t>补助标准</w:t>
      </w:r>
    </w:p>
    <w:p w14:paraId="3C5281A0">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参保大学生在一个参保年度内单次或多次住院，在基本医疗保险基金支付后，个人自付的政策范围内住院费用累计超过5000元以上部分，分段按比例报销。具体报销比例如下：</w:t>
      </w:r>
    </w:p>
    <w:tbl>
      <w:tblPr>
        <w:tblStyle w:val="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004"/>
        <w:gridCol w:w="3770"/>
      </w:tblGrid>
      <w:tr w14:paraId="4FDA6B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jc w:val="center"/>
        </w:trPr>
        <w:tc>
          <w:tcPr>
            <w:tcW w:w="5004" w:type="dxa"/>
            <w:noWrap w:val="0"/>
            <w:vAlign w:val="center"/>
          </w:tcPr>
          <w:p w14:paraId="64FD0C25">
            <w:pPr>
              <w:keepNext w:val="0"/>
              <w:keepLines w:val="0"/>
              <w:pageBreakBefore w:val="0"/>
              <w:kinsoku/>
              <w:wordWrap/>
              <w:overflowPunct/>
              <w:topLinePunct w:val="0"/>
              <w:autoSpaceDE/>
              <w:autoSpaceDN/>
              <w:bidi w:val="0"/>
              <w:adjustRightInd/>
              <w:snapToGrid/>
              <w:spacing w:line="560" w:lineRule="exact"/>
              <w:ind w:firstLine="640" w:firstLineChars="200"/>
              <w:jc w:val="center"/>
              <w:textAlignment w:val="auto"/>
              <w:rPr>
                <w:rFonts w:hint="eastAsia" w:ascii="仿宋" w:hAnsi="仿宋" w:eastAsia="仿宋" w:cs="仿宋"/>
                <w:sz w:val="32"/>
                <w:szCs w:val="32"/>
              </w:rPr>
            </w:pPr>
            <w:r>
              <w:rPr>
                <w:rFonts w:hint="eastAsia" w:ascii="仿宋" w:hAnsi="仿宋" w:eastAsia="仿宋" w:cs="仿宋"/>
                <w:sz w:val="32"/>
                <w:szCs w:val="32"/>
              </w:rPr>
              <w:t>个人负担中符合</w:t>
            </w:r>
          </w:p>
          <w:p w14:paraId="60C20E51">
            <w:pPr>
              <w:keepNext w:val="0"/>
              <w:keepLines w:val="0"/>
              <w:pageBreakBefore w:val="0"/>
              <w:kinsoku/>
              <w:wordWrap/>
              <w:overflowPunct/>
              <w:topLinePunct w:val="0"/>
              <w:autoSpaceDE/>
              <w:autoSpaceDN/>
              <w:bidi w:val="0"/>
              <w:adjustRightInd/>
              <w:snapToGrid/>
              <w:spacing w:line="560" w:lineRule="exact"/>
              <w:ind w:firstLine="640" w:firstLineChars="200"/>
              <w:jc w:val="center"/>
              <w:textAlignment w:val="auto"/>
              <w:rPr>
                <w:rFonts w:hint="eastAsia" w:ascii="仿宋" w:hAnsi="仿宋" w:eastAsia="仿宋" w:cs="仿宋"/>
                <w:sz w:val="32"/>
                <w:szCs w:val="32"/>
              </w:rPr>
            </w:pPr>
            <w:r>
              <w:rPr>
                <w:rFonts w:hint="eastAsia" w:ascii="仿宋" w:hAnsi="仿宋" w:eastAsia="仿宋" w:cs="仿宋"/>
                <w:sz w:val="32"/>
                <w:szCs w:val="32"/>
              </w:rPr>
              <w:t>政策范围内费用（元）</w:t>
            </w:r>
          </w:p>
        </w:tc>
        <w:tc>
          <w:tcPr>
            <w:tcW w:w="3770" w:type="dxa"/>
            <w:noWrap w:val="0"/>
            <w:vAlign w:val="center"/>
          </w:tcPr>
          <w:p w14:paraId="53B5FF57">
            <w:pPr>
              <w:keepNext w:val="0"/>
              <w:keepLines w:val="0"/>
              <w:pageBreakBefore w:val="0"/>
              <w:kinsoku/>
              <w:wordWrap/>
              <w:overflowPunct/>
              <w:topLinePunct w:val="0"/>
              <w:autoSpaceDE/>
              <w:autoSpaceDN/>
              <w:bidi w:val="0"/>
              <w:adjustRightInd/>
              <w:snapToGrid/>
              <w:spacing w:line="560" w:lineRule="exact"/>
              <w:ind w:firstLine="640" w:firstLineChars="200"/>
              <w:jc w:val="center"/>
              <w:textAlignment w:val="auto"/>
              <w:rPr>
                <w:rFonts w:hint="eastAsia" w:ascii="仿宋" w:hAnsi="仿宋" w:eastAsia="仿宋" w:cs="仿宋"/>
                <w:sz w:val="32"/>
                <w:szCs w:val="32"/>
              </w:rPr>
            </w:pPr>
            <w:r>
              <w:rPr>
                <w:rFonts w:hint="eastAsia" w:ascii="仿宋" w:hAnsi="仿宋" w:eastAsia="仿宋" w:cs="仿宋"/>
                <w:sz w:val="32"/>
                <w:szCs w:val="32"/>
              </w:rPr>
              <w:t>二次补助</w:t>
            </w:r>
          </w:p>
          <w:p w14:paraId="2698F635">
            <w:pPr>
              <w:keepNext w:val="0"/>
              <w:keepLines w:val="0"/>
              <w:pageBreakBefore w:val="0"/>
              <w:kinsoku/>
              <w:wordWrap/>
              <w:overflowPunct/>
              <w:topLinePunct w:val="0"/>
              <w:autoSpaceDE/>
              <w:autoSpaceDN/>
              <w:bidi w:val="0"/>
              <w:adjustRightInd/>
              <w:snapToGrid/>
              <w:spacing w:line="560" w:lineRule="exact"/>
              <w:ind w:firstLine="640" w:firstLineChars="200"/>
              <w:jc w:val="center"/>
              <w:textAlignment w:val="auto"/>
              <w:rPr>
                <w:rFonts w:hint="eastAsia" w:ascii="仿宋" w:hAnsi="仿宋" w:eastAsia="仿宋" w:cs="仿宋"/>
                <w:sz w:val="32"/>
                <w:szCs w:val="32"/>
              </w:rPr>
            </w:pPr>
            <w:r>
              <w:rPr>
                <w:rFonts w:hint="eastAsia" w:ascii="仿宋" w:hAnsi="仿宋" w:eastAsia="仿宋" w:cs="仿宋"/>
                <w:sz w:val="32"/>
                <w:szCs w:val="32"/>
              </w:rPr>
              <w:t>支付比例（%）</w:t>
            </w:r>
          </w:p>
        </w:tc>
      </w:tr>
      <w:tr w14:paraId="5FEFE4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5004" w:type="dxa"/>
            <w:noWrap w:val="0"/>
            <w:vAlign w:val="center"/>
          </w:tcPr>
          <w:p w14:paraId="284DC8A2">
            <w:pPr>
              <w:keepNext w:val="0"/>
              <w:keepLines w:val="0"/>
              <w:pageBreakBefore w:val="0"/>
              <w:kinsoku/>
              <w:wordWrap/>
              <w:overflowPunct/>
              <w:topLinePunct w:val="0"/>
              <w:autoSpaceDE/>
              <w:autoSpaceDN/>
              <w:bidi w:val="0"/>
              <w:adjustRightInd/>
              <w:snapToGrid/>
              <w:spacing w:line="560" w:lineRule="exact"/>
              <w:ind w:firstLine="640" w:firstLineChars="200"/>
              <w:jc w:val="center"/>
              <w:textAlignment w:val="auto"/>
              <w:rPr>
                <w:rFonts w:hint="eastAsia" w:ascii="仿宋" w:hAnsi="仿宋" w:eastAsia="仿宋" w:cs="仿宋"/>
                <w:sz w:val="32"/>
                <w:szCs w:val="32"/>
              </w:rPr>
            </w:pPr>
            <w:r>
              <w:rPr>
                <w:rFonts w:hint="eastAsia" w:ascii="仿宋" w:hAnsi="仿宋" w:eastAsia="仿宋" w:cs="仿宋"/>
                <w:sz w:val="32"/>
                <w:szCs w:val="32"/>
              </w:rPr>
              <w:t>5000（不含）—30000（含）</w:t>
            </w:r>
          </w:p>
        </w:tc>
        <w:tc>
          <w:tcPr>
            <w:tcW w:w="3770" w:type="dxa"/>
            <w:noWrap w:val="0"/>
            <w:vAlign w:val="center"/>
          </w:tcPr>
          <w:p w14:paraId="55105688">
            <w:pPr>
              <w:keepNext w:val="0"/>
              <w:keepLines w:val="0"/>
              <w:pageBreakBefore w:val="0"/>
              <w:kinsoku/>
              <w:wordWrap/>
              <w:overflowPunct/>
              <w:topLinePunct w:val="0"/>
              <w:autoSpaceDE/>
              <w:autoSpaceDN/>
              <w:bidi w:val="0"/>
              <w:adjustRightInd/>
              <w:snapToGrid/>
              <w:spacing w:line="560" w:lineRule="exact"/>
              <w:ind w:firstLine="640" w:firstLineChars="200"/>
              <w:jc w:val="center"/>
              <w:textAlignment w:val="auto"/>
              <w:rPr>
                <w:rFonts w:hint="eastAsia" w:ascii="仿宋" w:hAnsi="仿宋" w:eastAsia="仿宋" w:cs="仿宋"/>
                <w:sz w:val="32"/>
                <w:szCs w:val="32"/>
              </w:rPr>
            </w:pPr>
            <w:r>
              <w:rPr>
                <w:rFonts w:hint="eastAsia" w:ascii="仿宋" w:hAnsi="仿宋" w:eastAsia="仿宋" w:cs="仿宋"/>
                <w:sz w:val="32"/>
                <w:szCs w:val="32"/>
              </w:rPr>
              <w:t>70</w:t>
            </w:r>
          </w:p>
        </w:tc>
      </w:tr>
      <w:tr w14:paraId="5B7427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5004" w:type="dxa"/>
            <w:noWrap w:val="0"/>
            <w:vAlign w:val="center"/>
          </w:tcPr>
          <w:p w14:paraId="4BB25711">
            <w:pPr>
              <w:keepNext w:val="0"/>
              <w:keepLines w:val="0"/>
              <w:pageBreakBefore w:val="0"/>
              <w:kinsoku/>
              <w:wordWrap/>
              <w:overflowPunct/>
              <w:topLinePunct w:val="0"/>
              <w:autoSpaceDE/>
              <w:autoSpaceDN/>
              <w:bidi w:val="0"/>
              <w:adjustRightInd/>
              <w:snapToGrid/>
              <w:spacing w:line="560" w:lineRule="exact"/>
              <w:ind w:firstLine="640" w:firstLineChars="200"/>
              <w:jc w:val="center"/>
              <w:textAlignment w:val="auto"/>
              <w:rPr>
                <w:rFonts w:hint="eastAsia" w:ascii="仿宋" w:hAnsi="仿宋" w:eastAsia="仿宋" w:cs="仿宋"/>
                <w:sz w:val="32"/>
                <w:szCs w:val="32"/>
              </w:rPr>
            </w:pPr>
            <w:r>
              <w:rPr>
                <w:rFonts w:hint="eastAsia" w:ascii="仿宋" w:hAnsi="仿宋" w:eastAsia="仿宋" w:cs="仿宋"/>
                <w:sz w:val="32"/>
                <w:szCs w:val="32"/>
              </w:rPr>
              <w:t>30000（不含）—100000（含）</w:t>
            </w:r>
          </w:p>
        </w:tc>
        <w:tc>
          <w:tcPr>
            <w:tcW w:w="3770" w:type="dxa"/>
            <w:noWrap w:val="0"/>
            <w:vAlign w:val="center"/>
          </w:tcPr>
          <w:p w14:paraId="733FE9A6">
            <w:pPr>
              <w:keepNext w:val="0"/>
              <w:keepLines w:val="0"/>
              <w:pageBreakBefore w:val="0"/>
              <w:kinsoku/>
              <w:wordWrap/>
              <w:overflowPunct/>
              <w:topLinePunct w:val="0"/>
              <w:autoSpaceDE/>
              <w:autoSpaceDN/>
              <w:bidi w:val="0"/>
              <w:adjustRightInd/>
              <w:snapToGrid/>
              <w:spacing w:line="560" w:lineRule="exact"/>
              <w:ind w:firstLine="640" w:firstLineChars="200"/>
              <w:jc w:val="center"/>
              <w:textAlignment w:val="auto"/>
              <w:rPr>
                <w:rFonts w:hint="eastAsia" w:ascii="仿宋" w:hAnsi="仿宋" w:eastAsia="仿宋" w:cs="仿宋"/>
                <w:sz w:val="32"/>
                <w:szCs w:val="32"/>
              </w:rPr>
            </w:pPr>
            <w:r>
              <w:rPr>
                <w:rFonts w:hint="eastAsia" w:ascii="仿宋" w:hAnsi="仿宋" w:eastAsia="仿宋" w:cs="仿宋"/>
                <w:sz w:val="32"/>
                <w:szCs w:val="32"/>
              </w:rPr>
              <w:t>80</w:t>
            </w:r>
          </w:p>
        </w:tc>
      </w:tr>
      <w:tr w14:paraId="5BBA3B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5004" w:type="dxa"/>
            <w:noWrap w:val="0"/>
            <w:vAlign w:val="center"/>
          </w:tcPr>
          <w:p w14:paraId="48A86E72">
            <w:pPr>
              <w:keepNext w:val="0"/>
              <w:keepLines w:val="0"/>
              <w:pageBreakBefore w:val="0"/>
              <w:kinsoku/>
              <w:wordWrap/>
              <w:overflowPunct/>
              <w:topLinePunct w:val="0"/>
              <w:autoSpaceDE/>
              <w:autoSpaceDN/>
              <w:bidi w:val="0"/>
              <w:adjustRightInd/>
              <w:snapToGrid/>
              <w:spacing w:line="560" w:lineRule="exact"/>
              <w:ind w:firstLine="640" w:firstLineChars="200"/>
              <w:jc w:val="center"/>
              <w:textAlignment w:val="auto"/>
              <w:rPr>
                <w:rFonts w:hint="eastAsia" w:ascii="仿宋" w:hAnsi="仿宋" w:eastAsia="仿宋" w:cs="仿宋"/>
                <w:sz w:val="32"/>
                <w:szCs w:val="32"/>
              </w:rPr>
            </w:pPr>
            <w:r>
              <w:rPr>
                <w:rFonts w:hint="eastAsia" w:ascii="仿宋" w:hAnsi="仿宋" w:eastAsia="仿宋" w:cs="仿宋"/>
                <w:sz w:val="32"/>
                <w:szCs w:val="32"/>
              </w:rPr>
              <w:t>100000（不含）以上</w:t>
            </w:r>
          </w:p>
        </w:tc>
        <w:tc>
          <w:tcPr>
            <w:tcW w:w="3770" w:type="dxa"/>
            <w:noWrap w:val="0"/>
            <w:vAlign w:val="center"/>
          </w:tcPr>
          <w:p w14:paraId="5C1B906F">
            <w:pPr>
              <w:keepNext w:val="0"/>
              <w:keepLines w:val="0"/>
              <w:pageBreakBefore w:val="0"/>
              <w:kinsoku/>
              <w:wordWrap/>
              <w:overflowPunct/>
              <w:topLinePunct w:val="0"/>
              <w:autoSpaceDE/>
              <w:autoSpaceDN/>
              <w:bidi w:val="0"/>
              <w:adjustRightInd/>
              <w:snapToGrid/>
              <w:spacing w:line="560" w:lineRule="exact"/>
              <w:ind w:firstLine="640" w:firstLineChars="200"/>
              <w:jc w:val="center"/>
              <w:textAlignment w:val="auto"/>
              <w:rPr>
                <w:rFonts w:hint="eastAsia" w:ascii="仿宋" w:hAnsi="仿宋" w:eastAsia="仿宋" w:cs="仿宋"/>
                <w:sz w:val="32"/>
                <w:szCs w:val="32"/>
              </w:rPr>
            </w:pPr>
            <w:r>
              <w:rPr>
                <w:rFonts w:hint="eastAsia" w:ascii="仿宋" w:hAnsi="仿宋" w:eastAsia="仿宋" w:cs="仿宋"/>
                <w:sz w:val="32"/>
                <w:szCs w:val="32"/>
              </w:rPr>
              <w:t>90</w:t>
            </w:r>
          </w:p>
        </w:tc>
      </w:tr>
    </w:tbl>
    <w:p w14:paraId="35ECAD28">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color w:val="000000"/>
          <w:sz w:val="32"/>
          <w:szCs w:val="32"/>
        </w:rPr>
      </w:pPr>
      <w:r>
        <w:rPr>
          <w:rFonts w:hint="eastAsia" w:ascii="仿宋" w:hAnsi="仿宋" w:eastAsia="仿宋" w:cs="仿宋"/>
          <w:b w:val="0"/>
          <w:bCs w:val="0"/>
          <w:color w:val="000000"/>
          <w:sz w:val="32"/>
          <w:szCs w:val="32"/>
          <w:lang w:eastAsia="zh-CN"/>
        </w:rPr>
        <w:t>六</w:t>
      </w:r>
      <w:r>
        <w:rPr>
          <w:rFonts w:hint="eastAsia" w:ascii="仿宋" w:hAnsi="仿宋" w:eastAsia="仿宋" w:cs="仿宋"/>
          <w:color w:val="000000"/>
          <w:sz w:val="32"/>
          <w:szCs w:val="32"/>
          <w:lang w:eastAsia="zh-CN"/>
        </w:rPr>
        <w:t>、</w:t>
      </w:r>
      <w:r>
        <w:rPr>
          <w:rFonts w:hint="eastAsia" w:ascii="仿宋" w:hAnsi="仿宋" w:eastAsia="仿宋" w:cs="仿宋"/>
          <w:color w:val="000000"/>
          <w:sz w:val="32"/>
          <w:szCs w:val="32"/>
        </w:rPr>
        <w:t>一个年度内统筹基金累计最高支付限额为30万元，年度最高支付限额是指参保患者个人年度获得大学生医疗保险各类</w:t>
      </w:r>
      <w:r>
        <w:rPr>
          <w:rFonts w:hint="eastAsia" w:ascii="仿宋" w:hAnsi="仿宋" w:eastAsia="仿宋" w:cs="仿宋"/>
          <w:color w:val="000000"/>
          <w:sz w:val="32"/>
          <w:szCs w:val="32"/>
          <w:lang w:eastAsia="zh-CN"/>
        </w:rPr>
        <w:t>基金支付</w:t>
      </w:r>
      <w:r>
        <w:rPr>
          <w:rFonts w:hint="eastAsia" w:ascii="仿宋" w:hAnsi="仿宋" w:eastAsia="仿宋" w:cs="仿宋"/>
          <w:color w:val="000000"/>
          <w:sz w:val="32"/>
          <w:szCs w:val="32"/>
        </w:rPr>
        <w:t>的总和，包括门诊、门诊特殊</w:t>
      </w:r>
      <w:r>
        <w:rPr>
          <w:rFonts w:hint="eastAsia" w:ascii="仿宋" w:hAnsi="仿宋" w:eastAsia="仿宋" w:cs="仿宋"/>
          <w:color w:val="000000"/>
          <w:sz w:val="32"/>
          <w:szCs w:val="32"/>
          <w:lang w:eastAsia="zh-CN"/>
        </w:rPr>
        <w:t>疾病</w:t>
      </w:r>
      <w:r>
        <w:rPr>
          <w:rFonts w:hint="eastAsia" w:ascii="仿宋" w:hAnsi="仿宋" w:eastAsia="仿宋" w:cs="仿宋"/>
          <w:color w:val="000000"/>
          <w:sz w:val="32"/>
          <w:szCs w:val="32"/>
        </w:rPr>
        <w:t>、住院、二次补助等。</w:t>
      </w:r>
    </w:p>
    <w:p w14:paraId="0E517B1D">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西北农林科技大学医院医保办</w:t>
      </w:r>
    </w:p>
    <w:p w14:paraId="6A6F3EB7">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电话：029-87092879</w:t>
      </w:r>
    </w:p>
    <w:p w14:paraId="00C31867">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地址：西农路28号（水保所对面）</w:t>
      </w:r>
    </w:p>
    <w:p w14:paraId="04803DE3">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390" w:afterAutospacing="0" w:line="560" w:lineRule="exact"/>
        <w:ind w:right="0" w:rightChars="0" w:firstLine="640" w:firstLineChars="200"/>
        <w:textAlignment w:val="auto"/>
        <w:rPr>
          <w:rFonts w:hint="eastAsia" w:ascii="仿宋" w:hAnsi="仿宋" w:eastAsia="仿宋" w:cs="仿宋"/>
          <w:sz w:val="32"/>
          <w:szCs w:val="32"/>
          <w:lang w:val="en-US" w:eastAsia="zh-CN"/>
        </w:rPr>
      </w:pPr>
    </w:p>
    <w:sectPr>
      <w:footerReference r:id="rId3" w:type="default"/>
      <w:pgSz w:w="11906" w:h="16838"/>
      <w:pgMar w:top="2098" w:right="1474" w:bottom="1984" w:left="1587"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modern"/>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45865687-403E-4979-9FA4-BEB6D868AB38}"/>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00000000000000000"/>
    <w:charset w:val="86"/>
    <w:family w:val="auto"/>
    <w:pitch w:val="default"/>
    <w:sig w:usb0="00000001" w:usb1="08000000" w:usb2="00000000" w:usb3="00000000" w:csb0="00040000" w:csb1="00000000"/>
    <w:embedRegular r:id="rId2" w:fontKey="{1F7480EA-136E-4F02-9783-901247E0CCF2}"/>
  </w:font>
  <w:font w:name="仿宋">
    <w:panose1 w:val="02010609060101010101"/>
    <w:charset w:val="86"/>
    <w:family w:val="auto"/>
    <w:pitch w:val="default"/>
    <w:sig w:usb0="800002BF" w:usb1="38CF7CFA" w:usb2="00000016" w:usb3="00000000" w:csb0="00040001" w:csb1="00000000"/>
    <w:embedRegular r:id="rId3" w:fontKey="{57EF20CF-5A16-4566-AF51-1B1D01937792}"/>
  </w:font>
  <w:font w:name="楷体">
    <w:panose1 w:val="02010609060101010101"/>
    <w:charset w:val="86"/>
    <w:family w:val="auto"/>
    <w:pitch w:val="default"/>
    <w:sig w:usb0="800002BF" w:usb1="38CF7CFA" w:usb2="00000016" w:usb3="00000000" w:csb0="00040001" w:csb1="00000000"/>
    <w:embedRegular r:id="rId4" w:fontKey="{57A74659-200C-4C41-9E20-A44A15C6168C}"/>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BC3B81">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F002A90">
                          <w:pPr>
                            <w:pStyle w:val="2"/>
                            <w:rPr>
                              <w:rFonts w:hint="eastAsia" w:eastAsiaTheme="minor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12</w:t>
                          </w:r>
                          <w:r>
                            <w:rPr>
                              <w:rFonts w:hint="eastAsia"/>
                              <w:lang w:eastAsia="zh-CN"/>
                            </w:rPr>
                            <w:fldChar w:fldCharType="end"/>
                          </w:r>
                          <w:r>
                            <w:rPr>
                              <w:rFonts w:hint="eastAsia"/>
                              <w:lang w:eastAsia="zh-CN"/>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7F002A90">
                    <w:pPr>
                      <w:pStyle w:val="2"/>
                      <w:rPr>
                        <w:rFonts w:hint="eastAsia" w:eastAsiaTheme="minor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12</w:t>
                    </w:r>
                    <w:r>
                      <w:rPr>
                        <w:rFonts w:hint="eastAsia"/>
                        <w:lang w:eastAsia="zh-CN"/>
                      </w:rPr>
                      <w:fldChar w:fldCharType="end"/>
                    </w:r>
                    <w:r>
                      <w:rPr>
                        <w:rFonts w:hint="eastAsia"/>
                        <w:lang w:eastAsia="zh-CN"/>
                      </w:rPr>
                      <w:t xml:space="preserve"> 页</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3311924"/>
    <w:multiLevelType w:val="singleLevel"/>
    <w:tmpl w:val="93311924"/>
    <w:lvl w:ilvl="0" w:tentative="0">
      <w:start w:val="1"/>
      <w:numFmt w:val="decimal"/>
      <w:suff w:val="nothing"/>
      <w:lvlText w:val="%1、"/>
      <w:lvlJc w:val="left"/>
      <w:pPr>
        <w:ind w:left="420" w:leftChars="0" w:firstLine="0" w:firstLineChars="0"/>
      </w:pPr>
    </w:lvl>
  </w:abstractNum>
  <w:abstractNum w:abstractNumId="1">
    <w:nsid w:val="4A0626A5"/>
    <w:multiLevelType w:val="singleLevel"/>
    <w:tmpl w:val="4A0626A5"/>
    <w:lvl w:ilvl="0" w:tentative="0">
      <w:start w:val="1"/>
      <w:numFmt w:val="decimal"/>
      <w:lvlText w:val="%1."/>
      <w:lvlJc w:val="left"/>
      <w:pPr>
        <w:tabs>
          <w:tab w:val="left" w:pos="312"/>
        </w:tabs>
      </w:pPr>
    </w:lvl>
  </w:abstractNum>
  <w:abstractNum w:abstractNumId="2">
    <w:nsid w:val="6D523F64"/>
    <w:multiLevelType w:val="singleLevel"/>
    <w:tmpl w:val="6D523F64"/>
    <w:lvl w:ilvl="0" w:tentative="0">
      <w:start w:val="1"/>
      <w:numFmt w:val="chineseCounting"/>
      <w:suff w:val="nothing"/>
      <w:lvlText w:val="%1、"/>
      <w:lvlJc w:val="left"/>
      <w:rPr>
        <w:rFonts w:hint="eastAsia"/>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3"/>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Q2M2YxN2FjZDdmNmFiNzEyMTE5NzQxMzFlMTczYjEifQ=="/>
  </w:docVars>
  <w:rsids>
    <w:rsidRoot w:val="00000000"/>
    <w:rsid w:val="001367DF"/>
    <w:rsid w:val="029F718E"/>
    <w:rsid w:val="0588434E"/>
    <w:rsid w:val="065872AC"/>
    <w:rsid w:val="0CA16A31"/>
    <w:rsid w:val="0DF05BED"/>
    <w:rsid w:val="0E074705"/>
    <w:rsid w:val="11186A50"/>
    <w:rsid w:val="164853AE"/>
    <w:rsid w:val="179B6443"/>
    <w:rsid w:val="1A491A28"/>
    <w:rsid w:val="1DBB7FDE"/>
    <w:rsid w:val="215536EB"/>
    <w:rsid w:val="23724893"/>
    <w:rsid w:val="24D4359C"/>
    <w:rsid w:val="25497CA4"/>
    <w:rsid w:val="28873C5D"/>
    <w:rsid w:val="29E80483"/>
    <w:rsid w:val="2AE44847"/>
    <w:rsid w:val="2C357358"/>
    <w:rsid w:val="2C581F9E"/>
    <w:rsid w:val="2DFB52D7"/>
    <w:rsid w:val="2F037743"/>
    <w:rsid w:val="30414BFB"/>
    <w:rsid w:val="31A57A34"/>
    <w:rsid w:val="330B3D11"/>
    <w:rsid w:val="331E7449"/>
    <w:rsid w:val="332802E6"/>
    <w:rsid w:val="38412005"/>
    <w:rsid w:val="3A901B2C"/>
    <w:rsid w:val="3C5E7026"/>
    <w:rsid w:val="3E09759C"/>
    <w:rsid w:val="3FE93BF8"/>
    <w:rsid w:val="41B94E35"/>
    <w:rsid w:val="42252480"/>
    <w:rsid w:val="43830DC7"/>
    <w:rsid w:val="447C38B1"/>
    <w:rsid w:val="465D7D3E"/>
    <w:rsid w:val="48C56D28"/>
    <w:rsid w:val="497C0D3F"/>
    <w:rsid w:val="4EA12272"/>
    <w:rsid w:val="4FD505F4"/>
    <w:rsid w:val="50E32DF2"/>
    <w:rsid w:val="52197FCA"/>
    <w:rsid w:val="52A051BA"/>
    <w:rsid w:val="5543118E"/>
    <w:rsid w:val="578D30E7"/>
    <w:rsid w:val="584D3759"/>
    <w:rsid w:val="587749B8"/>
    <w:rsid w:val="5A1C5B76"/>
    <w:rsid w:val="5A8870A3"/>
    <w:rsid w:val="5B0214B8"/>
    <w:rsid w:val="5C1269AC"/>
    <w:rsid w:val="5C536F8B"/>
    <w:rsid w:val="5D616655"/>
    <w:rsid w:val="61C0784B"/>
    <w:rsid w:val="657B5DDA"/>
    <w:rsid w:val="66BD00D2"/>
    <w:rsid w:val="67011B9B"/>
    <w:rsid w:val="691E189E"/>
    <w:rsid w:val="6CC33310"/>
    <w:rsid w:val="6F40256E"/>
    <w:rsid w:val="7D167BE4"/>
    <w:rsid w:val="7E661BA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8">
    <w:name w:val="List Paragraph"/>
    <w:basedOn w:val="1"/>
    <w:qFormat/>
    <w:uiPriority w:val="34"/>
    <w:pPr>
      <w:ind w:firstLine="420" w:firstLineChars="200"/>
    </w:pPr>
    <w:rPr>
      <w:rFonts w:ascii="Calibri" w:hAnsi="Calibri" w:eastAsia="宋体" w:cs="Times New Roman"/>
      <w:sz w:val="21"/>
      <w:szCs w:val="2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1761</Words>
  <Characters>1918</Characters>
  <Lines>0</Lines>
  <Paragraphs>0</Paragraphs>
  <TotalTime>147</TotalTime>
  <ScaleCrop>false</ScaleCrop>
  <LinksUpToDate>false</LinksUpToDate>
  <CharactersWithSpaces>1921</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2023-07-10T01:23:00Z</dcterms:created>
  <dc:creator>ybbz</dc:creator>
  <cp:lastModifiedBy>裂缝中的阳光</cp:lastModifiedBy>
  <cp:lastPrinted>2024-02-29T00:36:00Z</cp:lastPrinted>
  <dcterms:modified xsi:type="dcterms:W3CDTF">2024-09-25T10:04:57Z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9E8F76FC58FA44339F2E979EA5EEDC7A_13</vt:lpwstr>
  </property>
</Properties>
</file>